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rPr>
          <w:rFonts w:ascii="Arial" w:cs="Arial" w:eastAsia="Arial" w:hAnsi="Arial"/>
          <w:b w:val="1"/>
          <w:color w:val="825fa9"/>
        </w:rPr>
      </w:pPr>
      <w:r w:rsidDel="00000000" w:rsidR="00000000" w:rsidRPr="00000000">
        <w:rPr>
          <w:rFonts w:ascii="Arial" w:cs="Arial" w:eastAsia="Arial" w:hAnsi="Arial"/>
          <w:b w:val="1"/>
          <w:color w:val="825fa9"/>
          <w:rtl w:val="0"/>
        </w:rPr>
        <w:t xml:space="preserve">Student Worksheet</w:t>
      </w:r>
    </w:p>
    <w:p w:rsidR="00000000" w:rsidDel="00000000" w:rsidP="00000000" w:rsidRDefault="00000000" w:rsidRPr="00000000" w14:paraId="00000002">
      <w:pPr>
        <w:spacing w:after="0" w:line="360" w:lineRule="auto"/>
        <w:rPr>
          <w:rFonts w:ascii="Arial Black" w:cs="Arial Black" w:eastAsia="Arial Black" w:hAnsi="Arial Black"/>
          <w:b w:val="1"/>
          <w:color w:val="262626"/>
          <w:sz w:val="40"/>
          <w:szCs w:val="40"/>
        </w:rPr>
      </w:pPr>
      <w:r w:rsidDel="00000000" w:rsidR="00000000" w:rsidRPr="00000000">
        <w:rPr>
          <w:rFonts w:ascii="Arial Black" w:cs="Arial Black" w:eastAsia="Arial Black" w:hAnsi="Arial Black"/>
          <w:b w:val="1"/>
          <w:color w:val="262626"/>
          <w:sz w:val="40"/>
          <w:szCs w:val="40"/>
          <w:rtl w:val="0"/>
        </w:rPr>
        <w:t xml:space="preserve">Studying Rocks on Mars Using Light</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Section 1</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D</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ifferent elements can be detected through the wavelength (color) of light they emit during a flame ionization test. Record your observations below from several known samples to serve as standards. </w:t>
      </w:r>
      <w:r w:rsidDel="00000000" w:rsidR="00000000" w:rsidRPr="00000000">
        <w:rPr>
          <w:rtl w:val="0"/>
        </w:rPr>
      </w:r>
    </w:p>
    <w:tbl>
      <w:tblPr>
        <w:tblStyle w:val="Table1"/>
        <w:tblW w:w="9060.0" w:type="dxa"/>
        <w:jc w:val="left"/>
        <w:tblInd w:w="225.0000000000000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85"/>
        <w:gridCol w:w="6675"/>
        <w:tblGridChange w:id="0">
          <w:tblGrid>
            <w:gridCol w:w="2385"/>
            <w:gridCol w:w="6675"/>
          </w:tblGrid>
        </w:tblGridChange>
      </w:tblGrid>
      <w:tr>
        <w:trPr>
          <w:cantSplit w:val="0"/>
          <w:trHeight w:val="555" w:hRule="atLeast"/>
          <w:tblHeader w:val="0"/>
        </w:trPr>
        <w:tc>
          <w:tcPr>
            <w:vAlign w:val="center"/>
          </w:tcPr>
          <w:p w:rsidR="00000000" w:rsidDel="00000000" w:rsidP="00000000" w:rsidRDefault="00000000" w:rsidRPr="00000000" w14:paraId="00000005">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Sample element</w:t>
            </w:r>
          </w:p>
        </w:tc>
        <w:tc>
          <w:tcPr>
            <w:vAlign w:val="center"/>
          </w:tcPr>
          <w:p w:rsidR="00000000" w:rsidDel="00000000" w:rsidP="00000000" w:rsidRDefault="00000000" w:rsidRPr="00000000" w14:paraId="00000006">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Observations from flame ionization test</w:t>
            </w:r>
          </w:p>
        </w:tc>
      </w:tr>
      <w:tr>
        <w:trPr>
          <w:cantSplit w:val="0"/>
          <w:trHeight w:val="688" w:hRule="atLeast"/>
          <w:tblHeader w:val="0"/>
        </w:trPr>
        <w:tc>
          <w:tcPr>
            <w:vAlign w:val="center"/>
          </w:tcPr>
          <w:p w:rsidR="00000000" w:rsidDel="00000000" w:rsidP="00000000" w:rsidRDefault="00000000" w:rsidRPr="00000000" w14:paraId="00000007">
            <w:pPr>
              <w:spacing w:after="0" w:line="240" w:lineRule="auto"/>
              <w:rPr/>
            </w:pPr>
            <w:r w:rsidDel="00000000" w:rsidR="00000000" w:rsidRPr="00000000">
              <w:rPr>
                <w:rtl w:val="0"/>
              </w:rPr>
            </w:r>
          </w:p>
        </w:tc>
        <w:tc>
          <w:tcPr>
            <w:vAlign w:val="center"/>
          </w:tcPr>
          <w:p w:rsidR="00000000" w:rsidDel="00000000" w:rsidP="00000000" w:rsidRDefault="00000000" w:rsidRPr="00000000" w14:paraId="00000008">
            <w:pPr>
              <w:spacing w:after="0" w:line="240" w:lineRule="auto"/>
              <w:rPr/>
            </w:pPr>
            <w:r w:rsidDel="00000000" w:rsidR="00000000" w:rsidRPr="00000000">
              <w:rPr>
                <w:rtl w:val="0"/>
              </w:rPr>
            </w:r>
          </w:p>
        </w:tc>
      </w:tr>
      <w:tr>
        <w:trPr>
          <w:cantSplit w:val="0"/>
          <w:trHeight w:val="741" w:hRule="atLeast"/>
          <w:tblHeader w:val="0"/>
        </w:trPr>
        <w:tc>
          <w:tcPr>
            <w:vAlign w:val="center"/>
          </w:tcPr>
          <w:p w:rsidR="00000000" w:rsidDel="00000000" w:rsidP="00000000" w:rsidRDefault="00000000" w:rsidRPr="00000000" w14:paraId="00000009">
            <w:pPr>
              <w:spacing w:after="0" w:line="240" w:lineRule="auto"/>
              <w:rPr/>
            </w:pPr>
            <w:r w:rsidDel="00000000" w:rsidR="00000000" w:rsidRPr="00000000">
              <w:rPr>
                <w:rtl w:val="0"/>
              </w:rPr>
            </w:r>
          </w:p>
        </w:tc>
        <w:tc>
          <w:tcPr>
            <w:vAlign w:val="center"/>
          </w:tcPr>
          <w:p w:rsidR="00000000" w:rsidDel="00000000" w:rsidP="00000000" w:rsidRDefault="00000000" w:rsidRPr="00000000" w14:paraId="0000000A">
            <w:pPr>
              <w:spacing w:after="0" w:line="240" w:lineRule="auto"/>
              <w:rPr/>
            </w:pPr>
            <w:r w:rsidDel="00000000" w:rsidR="00000000" w:rsidRPr="00000000">
              <w:rPr>
                <w:rtl w:val="0"/>
              </w:rPr>
            </w:r>
          </w:p>
        </w:tc>
      </w:tr>
      <w:tr>
        <w:trPr>
          <w:cantSplit w:val="0"/>
          <w:trHeight w:val="741" w:hRule="atLeast"/>
          <w:tblHeader w:val="0"/>
        </w:trPr>
        <w:tc>
          <w:tcPr>
            <w:vAlign w:val="center"/>
          </w:tcPr>
          <w:p w:rsidR="00000000" w:rsidDel="00000000" w:rsidP="00000000" w:rsidRDefault="00000000" w:rsidRPr="00000000" w14:paraId="0000000B">
            <w:pPr>
              <w:spacing w:after="0" w:line="240" w:lineRule="auto"/>
              <w:rPr/>
            </w:pPr>
            <w:r w:rsidDel="00000000" w:rsidR="00000000" w:rsidRPr="00000000">
              <w:rPr>
                <w:rtl w:val="0"/>
              </w:rPr>
            </w:r>
          </w:p>
        </w:tc>
        <w:tc>
          <w:tcPr>
            <w:vAlign w:val="center"/>
          </w:tcPr>
          <w:p w:rsidR="00000000" w:rsidDel="00000000" w:rsidP="00000000" w:rsidRDefault="00000000" w:rsidRPr="00000000" w14:paraId="0000000C">
            <w:pPr>
              <w:spacing w:after="0" w:line="240" w:lineRule="auto"/>
              <w:rPr/>
            </w:pPr>
            <w:r w:rsidDel="00000000" w:rsidR="00000000" w:rsidRPr="00000000">
              <w:rPr>
                <w:rtl w:val="0"/>
              </w:rPr>
            </w:r>
          </w:p>
        </w:tc>
      </w:tr>
      <w:tr>
        <w:trPr>
          <w:cantSplit w:val="0"/>
          <w:trHeight w:val="688" w:hRule="atLeast"/>
          <w:tblHeader w:val="0"/>
        </w:trPr>
        <w:tc>
          <w:tcPr>
            <w:vAlign w:val="center"/>
          </w:tcPr>
          <w:p w:rsidR="00000000" w:rsidDel="00000000" w:rsidP="00000000" w:rsidRDefault="00000000" w:rsidRPr="00000000" w14:paraId="0000000D">
            <w:pPr>
              <w:spacing w:after="0" w:line="240" w:lineRule="auto"/>
              <w:rPr/>
            </w:pPr>
            <w:r w:rsidDel="00000000" w:rsidR="00000000" w:rsidRPr="00000000">
              <w:rPr>
                <w:rtl w:val="0"/>
              </w:rPr>
            </w:r>
          </w:p>
        </w:tc>
        <w:tc>
          <w:tcPr>
            <w:vAlign w:val="center"/>
          </w:tcPr>
          <w:p w:rsidR="00000000" w:rsidDel="00000000" w:rsidP="00000000" w:rsidRDefault="00000000" w:rsidRPr="00000000" w14:paraId="0000000E">
            <w:pPr>
              <w:spacing w:after="0" w:line="240" w:lineRule="auto"/>
              <w:rPr/>
            </w:pPr>
            <w:r w:rsidDel="00000000" w:rsidR="00000000" w:rsidRPr="00000000">
              <w:rPr>
                <w:rtl w:val="0"/>
              </w:rPr>
            </w:r>
          </w:p>
        </w:tc>
      </w:tr>
    </w:tb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Section 2</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 the case of an unknown sample on Mars, several elements are often included.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Make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some predictions as to what elements are contained in the unknown sample during its flame ionization test. </w:t>
      </w:r>
      <w:r w:rsidDel="00000000" w:rsidR="00000000" w:rsidRPr="00000000">
        <w:rPr>
          <w:rtl w:val="0"/>
        </w:rPr>
      </w:r>
    </w:p>
    <w:tbl>
      <w:tblPr>
        <w:tblStyle w:val="Table2"/>
        <w:tblW w:w="9090.0" w:type="dxa"/>
        <w:jc w:val="left"/>
        <w:tblInd w:w="195.0000000000000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5"/>
        <w:gridCol w:w="6675"/>
        <w:tblGridChange w:id="0">
          <w:tblGrid>
            <w:gridCol w:w="2415"/>
            <w:gridCol w:w="6675"/>
          </w:tblGrid>
        </w:tblGridChange>
      </w:tblGrid>
      <w:tr>
        <w:trPr>
          <w:cantSplit w:val="0"/>
          <w:trHeight w:val="555" w:hRule="atLeast"/>
          <w:tblHeader w:val="0"/>
        </w:trPr>
        <w:tc>
          <w:tcPr>
            <w:vAlign w:val="center"/>
          </w:tcPr>
          <w:p w:rsidR="00000000" w:rsidDel="00000000" w:rsidP="00000000" w:rsidRDefault="00000000" w:rsidRPr="00000000" w14:paraId="00000014">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Sample element</w:t>
            </w:r>
          </w:p>
        </w:tc>
        <w:tc>
          <w:tcPr>
            <w:vAlign w:val="center"/>
          </w:tcPr>
          <w:p w:rsidR="00000000" w:rsidDel="00000000" w:rsidP="00000000" w:rsidRDefault="00000000" w:rsidRPr="00000000" w14:paraId="00000015">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Observations from sample spectra</w:t>
            </w:r>
          </w:p>
        </w:tc>
      </w:tr>
      <w:tr>
        <w:trPr>
          <w:cantSplit w:val="0"/>
          <w:trHeight w:val="688" w:hRule="atLeast"/>
          <w:tblHeader w:val="0"/>
        </w:trPr>
        <w:tc>
          <w:tcPr>
            <w:vAlign w:val="center"/>
          </w:tcPr>
          <w:p w:rsidR="00000000" w:rsidDel="00000000" w:rsidP="00000000" w:rsidRDefault="00000000" w:rsidRPr="00000000" w14:paraId="00000016">
            <w:pPr>
              <w:pageBreakBefore w:val="0"/>
              <w:rPr/>
            </w:pPr>
            <w:r w:rsidDel="00000000" w:rsidR="00000000" w:rsidRPr="00000000">
              <w:rPr>
                <w:rtl w:val="0"/>
              </w:rPr>
            </w:r>
          </w:p>
        </w:tc>
        <w:tc>
          <w:tcPr>
            <w:vAlign w:val="center"/>
          </w:tcPr>
          <w:p w:rsidR="00000000" w:rsidDel="00000000" w:rsidP="00000000" w:rsidRDefault="00000000" w:rsidRPr="00000000" w14:paraId="00000017">
            <w:pPr>
              <w:pageBreakBefore w:val="0"/>
              <w:rPr/>
            </w:pPr>
            <w:r w:rsidDel="00000000" w:rsidR="00000000" w:rsidRPr="00000000">
              <w:rPr>
                <w:rtl w:val="0"/>
              </w:rPr>
            </w:r>
          </w:p>
        </w:tc>
      </w:tr>
      <w:tr>
        <w:trPr>
          <w:cantSplit w:val="0"/>
          <w:trHeight w:val="741" w:hRule="atLeast"/>
          <w:tblHeader w:val="0"/>
        </w:trPr>
        <w:tc>
          <w:tcPr>
            <w:vAlign w:val="center"/>
          </w:tcPr>
          <w:p w:rsidR="00000000" w:rsidDel="00000000" w:rsidP="00000000" w:rsidRDefault="00000000" w:rsidRPr="00000000" w14:paraId="00000018">
            <w:pPr>
              <w:pageBreakBefore w:val="0"/>
              <w:rPr/>
            </w:pPr>
            <w:r w:rsidDel="00000000" w:rsidR="00000000" w:rsidRPr="00000000">
              <w:rPr>
                <w:rtl w:val="0"/>
              </w:rPr>
            </w:r>
          </w:p>
        </w:tc>
        <w:tc>
          <w:tcPr>
            <w:vAlign w:val="center"/>
          </w:tcPr>
          <w:p w:rsidR="00000000" w:rsidDel="00000000" w:rsidP="00000000" w:rsidRDefault="00000000" w:rsidRPr="00000000" w14:paraId="00000019">
            <w:pPr>
              <w:pageBreakBefore w:val="0"/>
              <w:rPr/>
            </w:pPr>
            <w:r w:rsidDel="00000000" w:rsidR="00000000" w:rsidRPr="00000000">
              <w:rPr>
                <w:rtl w:val="0"/>
              </w:rPr>
            </w:r>
          </w:p>
        </w:tc>
      </w:tr>
      <w:tr>
        <w:trPr>
          <w:cantSplit w:val="0"/>
          <w:trHeight w:val="741" w:hRule="atLeast"/>
          <w:tblHeader w:val="0"/>
        </w:trPr>
        <w:tc>
          <w:tcPr>
            <w:vAlign w:val="center"/>
          </w:tcPr>
          <w:p w:rsidR="00000000" w:rsidDel="00000000" w:rsidP="00000000" w:rsidRDefault="00000000" w:rsidRPr="00000000" w14:paraId="0000001A">
            <w:pPr>
              <w:pageBreakBefore w:val="0"/>
              <w:rPr/>
            </w:pPr>
            <w:r w:rsidDel="00000000" w:rsidR="00000000" w:rsidRPr="00000000">
              <w:rPr>
                <w:rtl w:val="0"/>
              </w:rPr>
            </w:r>
          </w:p>
        </w:tc>
        <w:tc>
          <w:tcPr>
            <w:vAlign w:val="center"/>
          </w:tcPr>
          <w:p w:rsidR="00000000" w:rsidDel="00000000" w:rsidP="00000000" w:rsidRDefault="00000000" w:rsidRPr="00000000" w14:paraId="0000001B">
            <w:pPr>
              <w:pageBreakBefore w:val="0"/>
              <w:rPr/>
            </w:pPr>
            <w:r w:rsidDel="00000000" w:rsidR="00000000" w:rsidRPr="00000000">
              <w:rPr>
                <w:rtl w:val="0"/>
              </w:rPr>
            </w:r>
          </w:p>
        </w:tc>
      </w:tr>
      <w:tr>
        <w:trPr>
          <w:cantSplit w:val="0"/>
          <w:trHeight w:val="688" w:hRule="atLeast"/>
          <w:tblHeader w:val="0"/>
        </w:trPr>
        <w:tc>
          <w:tcPr>
            <w:vAlign w:val="center"/>
          </w:tcPr>
          <w:p w:rsidR="00000000" w:rsidDel="00000000" w:rsidP="00000000" w:rsidRDefault="00000000" w:rsidRPr="00000000" w14:paraId="0000001C">
            <w:pPr>
              <w:pageBreakBefore w:val="0"/>
              <w:rPr/>
            </w:pPr>
            <w:r w:rsidDel="00000000" w:rsidR="00000000" w:rsidRPr="00000000">
              <w:rPr>
                <w:rtl w:val="0"/>
              </w:rPr>
            </w:r>
          </w:p>
        </w:tc>
        <w:tc>
          <w:tcPr>
            <w:vAlign w:val="center"/>
          </w:tcPr>
          <w:p w:rsidR="00000000" w:rsidDel="00000000" w:rsidP="00000000" w:rsidRDefault="00000000" w:rsidRPr="00000000" w14:paraId="0000001D">
            <w:pPr>
              <w:pageBreakBefore w:val="0"/>
              <w:rPr/>
            </w:pPr>
            <w:r w:rsidDel="00000000" w:rsidR="00000000" w:rsidRPr="00000000">
              <w:rPr>
                <w:rtl w:val="0"/>
              </w:rPr>
            </w:r>
          </w:p>
        </w:tc>
      </w:tr>
    </w:tb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Section 3</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Instruments such as ChemCam and SuperCam on the Curiosity and Perseverance rovers use much more advanced techniques than our eyes to determine the specific wavelength of the color being emitted. Look at the spectra below of standards of pure elements to see what the rover is looking for.</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drawing>
          <wp:inline distB="114300" distT="114300" distL="114300" distR="114300">
            <wp:extent cx="5857875" cy="3428791"/>
            <wp:effectExtent b="0" l="0" r="0" t="0"/>
            <wp:docPr id="12"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5857875" cy="3428791"/>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29">
      <w:pPr>
        <w:rPr/>
      </w:pPr>
      <w:r w:rsidDel="00000000" w:rsidR="00000000" w:rsidRPr="00000000">
        <w:rPr>
          <w:rFonts w:ascii="Arial" w:cs="Arial" w:eastAsia="Arial" w:hAnsi="Arial"/>
          <w:b w:val="1"/>
          <w:sz w:val="28"/>
          <w:szCs w:val="28"/>
          <w:rtl w:val="0"/>
        </w:rPr>
        <w:t xml:space="preserve">Section 4</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Fonts w:ascii="Arial" w:cs="Arial" w:eastAsia="Arial" w:hAnsi="Arial"/>
          <w:rtl w:val="0"/>
        </w:rPr>
        <w:t xml:space="preserve">What can you conclude about the three very similar rock structures shown below, Calcite, Dolomite, and Ankerite? What do they have in common? What elements make them unique and would allow you to tell them apart?</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tl w:val="0"/>
        </w:rPr>
      </w:r>
    </w:p>
    <w:tbl>
      <w:tblPr>
        <w:tblStyle w:val="Table3"/>
        <w:tblW w:w="937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75"/>
        <w:tblGridChange w:id="0">
          <w:tblGrid>
            <w:gridCol w:w="93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i w:val="1"/>
                <w:sz w:val="18"/>
                <w:szCs w:val="18"/>
                <w:rtl w:val="0"/>
              </w:rPr>
              <w:t xml:space="preserve">Write your answer here: </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Note: </w:t>
      </w:r>
      <w:r w:rsidDel="00000000" w:rsidR="00000000" w:rsidRPr="00000000">
        <w:rPr>
          <w:rFonts w:ascii="Arial" w:cs="Arial" w:eastAsia="Arial" w:hAnsi="Arial"/>
          <w:rtl w:val="0"/>
        </w:rPr>
        <w:t xml:space="preserve">In the graphs below, different elements show up with different relative intensities, so some peaks may not be as tall or as sharp as others. The yellow and orange highlighted areas indicate the presence of iron and magnesium, respectively.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color w:val="ff0000"/>
        </w:rPr>
      </w:pPr>
      <w:r w:rsidDel="00000000" w:rsidR="00000000" w:rsidRPr="00000000">
        <w:rPr>
          <w:color w:val="ff0000"/>
        </w:rPr>
        <w:drawing>
          <wp:inline distB="114300" distT="114300" distL="114300" distR="114300">
            <wp:extent cx="6086475" cy="3286253"/>
            <wp:effectExtent b="0" l="0" r="0" t="0"/>
            <wp:docPr id="14" name="image6.jpg"/>
            <a:graphic>
              <a:graphicData uri="http://schemas.openxmlformats.org/drawingml/2006/picture">
                <pic:pic>
                  <pic:nvPicPr>
                    <pic:cNvPr id="0" name="image6.jpg"/>
                    <pic:cNvPicPr preferRelativeResize="0"/>
                  </pic:nvPicPr>
                  <pic:blipFill>
                    <a:blip r:embed="rId8"/>
                    <a:srcRect b="0" l="0" r="0" t="0"/>
                    <a:stretch>
                      <a:fillRect/>
                    </a:stretch>
                  </pic:blipFill>
                  <pic:spPr>
                    <a:xfrm>
                      <a:off x="0" y="0"/>
                      <a:ext cx="6086475" cy="3286253"/>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color w:val="ff0000"/>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color w:val="ff0000"/>
        </w:rPr>
      </w:pPr>
      <w:r w:rsidDel="00000000" w:rsidR="00000000" w:rsidRPr="00000000">
        <w:rPr>
          <w:color w:val="ff0000"/>
        </w:rPr>
        <w:drawing>
          <wp:inline distB="114300" distT="114300" distL="114300" distR="114300">
            <wp:extent cx="5943600" cy="3289300"/>
            <wp:effectExtent b="0" l="0" r="0" t="0"/>
            <wp:docPr id="11"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5943600" cy="328930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color w:val="ff0000"/>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b w:val="1"/>
          <w:sz w:val="26"/>
          <w:szCs w:val="26"/>
        </w:rPr>
      </w:pPr>
      <w:r w:rsidDel="00000000" w:rsidR="00000000" w:rsidRPr="00000000">
        <w:rPr>
          <w:color w:val="ff0000"/>
        </w:rPr>
        <w:drawing>
          <wp:inline distB="114300" distT="114300" distL="114300" distR="114300">
            <wp:extent cx="5943600" cy="3200400"/>
            <wp:effectExtent b="0" l="0" r="0" t="0"/>
            <wp:docPr id="9"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59436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color w:val="ff0000"/>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color w:val="ff0000"/>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color w:val="ff0000"/>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color w:val="ff000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2">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b w:val="1"/>
          <w:sz w:val="28"/>
          <w:szCs w:val="28"/>
          <w:rtl w:val="0"/>
        </w:rPr>
        <w:t xml:space="preserve">Section 5</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Using the spectra of the standards, analyze the two samples below</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collected by the Perseverance and Curiosity rovers</w:t>
      </w:r>
      <w:r w:rsidDel="00000000" w:rsidR="00000000" w:rsidRPr="00000000">
        <w:rPr>
          <w:rFonts w:ascii="Arial" w:cs="Arial" w:eastAsia="Arial" w:hAnsi="Arial"/>
          <w:rtl w:val="0"/>
        </w:rPr>
        <w:t xml:space="preserve"> on </w:t>
      </w:r>
      <w:r w:rsidDel="00000000" w:rsidR="00000000" w:rsidRPr="00000000">
        <w:rPr>
          <w:rFonts w:ascii="Arial" w:cs="Arial" w:eastAsia="Arial" w:hAnsi="Arial"/>
          <w:i w:val="0"/>
          <w:smallCaps w:val="0"/>
          <w:strike w:val="0"/>
          <w:color w:val="000000"/>
          <w:u w:val="none"/>
          <w:shd w:fill="auto" w:val="clear"/>
          <w:vertAlign w:val="baseline"/>
          <w:rtl w:val="0"/>
        </w:rPr>
        <w:t xml:space="preserve">Mars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What elements can you predict are contained within each sample? </w:t>
      </w:r>
      <w:r w:rsidDel="00000000" w:rsidR="00000000" w:rsidRPr="00000000">
        <w:rPr>
          <w:rFonts w:ascii="Arial" w:cs="Arial" w:eastAsia="Arial" w:hAnsi="Arial"/>
          <w:rtl w:val="0"/>
        </w:rPr>
        <w:t xml:space="preserve">Based on your analysis and what you know about the rovers' landing sites, which rover do you think collected each sample?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Write your answer here: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4E">
      <w:pPr>
        <w:spacing w:after="0"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4F">
      <w:pPr>
        <w:spacing w:after="0"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50">
      <w:pPr>
        <w:spacing w:after="0"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51">
      <w:pPr>
        <w:spacing w:after="0"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52">
      <w:pPr>
        <w:spacing w:after="0"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53">
      <w:pPr>
        <w:spacing w:after="0"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54">
      <w:pPr>
        <w:spacing w:after="0"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55">
      <w:pPr>
        <w:spacing w:after="0"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56">
      <w:pPr>
        <w:spacing w:after="0" w:lineRule="auto"/>
        <w:rPr>
          <w:rFonts w:ascii="Arial" w:cs="Arial" w:eastAsia="Arial" w:hAnsi="Arial"/>
          <w:b w:val="1"/>
          <w:sz w:val="26"/>
          <w:szCs w:val="26"/>
        </w:rPr>
      </w:pPr>
      <w:r w:rsidDel="00000000" w:rsidR="00000000" w:rsidRPr="00000000">
        <w:rPr>
          <w:rFonts w:ascii="Arial" w:cs="Arial" w:eastAsia="Arial" w:hAnsi="Arial"/>
          <w:b w:val="1"/>
          <w:sz w:val="26"/>
          <w:szCs w:val="26"/>
        </w:rPr>
        <w:drawing>
          <wp:inline distB="114300" distT="114300" distL="114300" distR="114300">
            <wp:extent cx="5943600" cy="3251200"/>
            <wp:effectExtent b="0" l="0" r="0" t="0"/>
            <wp:docPr id="10" name="image7.jpg"/>
            <a:graphic>
              <a:graphicData uri="http://schemas.openxmlformats.org/drawingml/2006/picture">
                <pic:pic>
                  <pic:nvPicPr>
                    <pic:cNvPr id="0" name="image7.jpg"/>
                    <pic:cNvPicPr preferRelativeResize="0"/>
                  </pic:nvPicPr>
                  <pic:blipFill>
                    <a:blip r:embed="rId11"/>
                    <a:srcRect b="0" l="0" r="0" t="0"/>
                    <a:stretch>
                      <a:fillRect/>
                    </a:stretch>
                  </pic:blipFill>
                  <pic:spPr>
                    <a:xfrm>
                      <a:off x="0" y="0"/>
                      <a:ext cx="5943600" cy="3251200"/>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spacing w:after="0"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58">
      <w:pPr>
        <w:spacing w:after="0"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59">
      <w:pPr>
        <w:spacing w:after="0" w:lineRule="auto"/>
        <w:rPr>
          <w:rFonts w:ascii="Arial" w:cs="Arial" w:eastAsia="Arial" w:hAnsi="Arial"/>
          <w:b w:val="1"/>
          <w:sz w:val="26"/>
          <w:szCs w:val="26"/>
        </w:rPr>
      </w:pPr>
      <w:r w:rsidDel="00000000" w:rsidR="00000000" w:rsidRPr="00000000">
        <w:rPr>
          <w:rFonts w:ascii="Arial" w:cs="Arial" w:eastAsia="Arial" w:hAnsi="Arial"/>
          <w:b w:val="1"/>
          <w:sz w:val="26"/>
          <w:szCs w:val="26"/>
        </w:rPr>
        <w:drawing>
          <wp:inline distB="114300" distT="114300" distL="114300" distR="114300">
            <wp:extent cx="5943600" cy="3238500"/>
            <wp:effectExtent b="0" l="0" r="0" t="0"/>
            <wp:docPr id="13" name="image5.jpg"/>
            <a:graphic>
              <a:graphicData uri="http://schemas.openxmlformats.org/drawingml/2006/picture">
                <pic:pic>
                  <pic:nvPicPr>
                    <pic:cNvPr id="0" name="image5.jpg"/>
                    <pic:cNvPicPr preferRelativeResize="0"/>
                  </pic:nvPicPr>
                  <pic:blipFill>
                    <a:blip r:embed="rId12"/>
                    <a:srcRect b="0" l="0" r="0" t="0"/>
                    <a:stretch>
                      <a:fillRect/>
                    </a:stretch>
                  </pic:blipFill>
                  <pic:spPr>
                    <a:xfrm>
                      <a:off x="0" y="0"/>
                      <a:ext cx="5943600" cy="3238500"/>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spacing w:after="0"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5C">
      <w:pPr>
        <w:rPr>
          <w:rFonts w:ascii="Arial" w:cs="Arial" w:eastAsia="Arial" w:hAnsi="Arial"/>
          <w:sz w:val="21"/>
          <w:szCs w:val="21"/>
        </w:rPr>
      </w:pPr>
      <w:r w:rsidDel="00000000" w:rsidR="00000000" w:rsidRPr="00000000">
        <w:rPr>
          <w:rtl w:val="0"/>
        </w:rPr>
      </w:r>
    </w:p>
    <w:sectPr>
      <w:headerReference r:id="rId13" w:type="default"/>
      <w:footerReference r:id="rId14" w:type="default"/>
      <w:pgSz w:h="15840" w:w="12240" w:orient="portrait"/>
      <w:pgMar w:bottom="1152" w:top="1440" w:left="1440" w:right="1440"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825fa9"/>
        <w:sz w:val="21"/>
        <w:szCs w:val="21"/>
        <w:u w:val="none"/>
        <w:shd w:fill="auto" w:val="clear"/>
        <w:vertAlign w:val="baseline"/>
        <w:rtl w:val="0"/>
      </w:rPr>
      <w:t xml:space="preserve">Student Worksheet</w:t>
    </w:r>
    <w:r w:rsidDel="00000000" w:rsidR="00000000" w:rsidRPr="00000000">
      <w:rPr>
        <w:rFonts w:ascii="Arial" w:cs="Arial" w:eastAsia="Arial" w:hAnsi="Arial"/>
        <w:b w:val="0"/>
        <w:i w:val="0"/>
        <w:smallCaps w:val="0"/>
        <w:strike w:val="0"/>
        <w:color w:val="825fa9"/>
        <w:sz w:val="21"/>
        <w:szCs w:val="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r w:rsidDel="00000000" w:rsidR="00000000" w:rsidRPr="00000000">
      <w:rPr>
        <w:rFonts w:ascii="Arial Black" w:cs="Arial Black" w:eastAsia="Arial Black" w:hAnsi="Arial Black"/>
        <w:b w:val="1"/>
        <w:sz w:val="21"/>
        <w:szCs w:val="21"/>
        <w:rtl w:val="0"/>
      </w:rPr>
      <w:t xml:space="preserve">Studying Rocks on Mars Using Light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tabs>
        <w:tab w:val="center" w:pos="4680"/>
        <w:tab w:val="right" w:pos="9360"/>
      </w:tabs>
      <w:spacing w:after="0" w:line="240" w:lineRule="auto"/>
      <w:jc w:val="right"/>
      <w:rPr>
        <w:rFonts w:ascii="Arial" w:cs="Arial" w:eastAsia="Arial" w:hAnsi="Arial"/>
        <w:b w:val="1"/>
        <w:color w:val="825fa9"/>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color w:val="825fa9"/>
        <w:rtl w:val="0"/>
      </w:rPr>
      <w:t xml:space="preserve">jpl.nasa.gov/edu</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-19049</wp:posOffset>
          </wp:positionV>
          <wp:extent cx="2516224" cy="540068"/>
          <wp:effectExtent b="0" l="0" r="0" t="0"/>
          <wp:wrapSquare wrapText="bothSides" distB="114300" distT="114300" distL="114300" distR="114300"/>
          <wp:docPr id="15" name="image1.jpg"/>
          <a:graphic>
            <a:graphicData uri="http://schemas.openxmlformats.org/drawingml/2006/picture">
              <pic:pic>
                <pic:nvPicPr>
                  <pic:cNvPr id="0" name="image1.jpg"/>
                  <pic:cNvPicPr preferRelativeResize="0"/>
                </pic:nvPicPr>
                <pic:blipFill>
                  <a:blip r:embed="rId1"/>
                  <a:srcRect b="13085" l="5328" r="3203" t="16417"/>
                  <a:stretch>
                    <a:fillRect/>
                  </a:stretch>
                </pic:blipFill>
                <pic:spPr>
                  <a:xfrm>
                    <a:off x="0" y="0"/>
                    <a:ext cx="2516224" cy="540068"/>
                  </a:xfrm>
                  <a:prstGeom prst="rect"/>
                  <a:ln/>
                </pic:spPr>
              </pic:pic>
            </a:graphicData>
          </a:graphic>
        </wp:anchor>
      </w:drawing>
    </w:r>
  </w:p>
  <w:p w:rsidR="00000000" w:rsidDel="00000000" w:rsidP="00000000" w:rsidRDefault="00000000" w:rsidRPr="00000000" w14:paraId="0000005E">
    <w:pPr>
      <w:tabs>
        <w:tab w:val="center" w:pos="4680"/>
        <w:tab w:val="right" w:pos="9360"/>
      </w:tabs>
      <w:spacing w:after="0" w:line="240" w:lineRule="auto"/>
      <w:jc w:val="right"/>
      <w:rPr>
        <w:rFonts w:ascii="Arial" w:cs="Arial" w:eastAsia="Arial" w:hAnsi="Arial"/>
        <w:b w:val="1"/>
        <w:color w:val="825fa9"/>
      </w:rPr>
    </w:pPr>
    <w:r w:rsidDel="00000000" w:rsidR="00000000" w:rsidRPr="00000000">
      <w:rPr>
        <w:rtl w:val="0"/>
      </w:rPr>
    </w:r>
  </w:p>
  <w:p w:rsidR="00000000" w:rsidDel="00000000" w:rsidP="00000000" w:rsidRDefault="00000000" w:rsidRPr="00000000" w14:paraId="0000005F">
    <w:pPr>
      <w:tabs>
        <w:tab w:val="center" w:pos="4680"/>
        <w:tab w:val="right" w:pos="9360"/>
      </w:tabs>
      <w:spacing w:after="0" w:line="240" w:lineRule="auto"/>
      <w:jc w:val="right"/>
      <w:rPr>
        <w:rFonts w:ascii="Arial" w:cs="Arial" w:eastAsia="Arial" w:hAnsi="Arial"/>
        <w:b w:val="1"/>
        <w:color w:val="825fa9"/>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A555B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AE60F0"/>
    <w:pPr>
      <w:tabs>
        <w:tab w:val="center" w:pos="4680"/>
        <w:tab w:val="right" w:pos="9360"/>
      </w:tabs>
      <w:spacing w:after="0" w:line="240" w:lineRule="auto"/>
    </w:pPr>
  </w:style>
  <w:style w:type="character" w:styleId="HeaderChar" w:customStyle="1">
    <w:name w:val="Header Char"/>
    <w:basedOn w:val="DefaultParagraphFont"/>
    <w:link w:val="Header"/>
    <w:uiPriority w:val="99"/>
    <w:rsid w:val="00AE60F0"/>
  </w:style>
  <w:style w:type="paragraph" w:styleId="Footer">
    <w:name w:val="footer"/>
    <w:basedOn w:val="Normal"/>
    <w:link w:val="FooterChar"/>
    <w:uiPriority w:val="99"/>
    <w:unhideWhenUsed w:val="1"/>
    <w:rsid w:val="00AE60F0"/>
    <w:pPr>
      <w:tabs>
        <w:tab w:val="center" w:pos="4680"/>
        <w:tab w:val="right" w:pos="9360"/>
      </w:tabs>
      <w:spacing w:after="0" w:line="240" w:lineRule="auto"/>
    </w:pPr>
  </w:style>
  <w:style w:type="character" w:styleId="FooterChar" w:customStyle="1">
    <w:name w:val="Footer Char"/>
    <w:basedOn w:val="DefaultParagraphFont"/>
    <w:link w:val="Footer"/>
    <w:uiPriority w:val="99"/>
    <w:rsid w:val="00AE60F0"/>
  </w:style>
  <w:style w:type="paragraph" w:styleId="BalloonText">
    <w:name w:val="Balloon Text"/>
    <w:basedOn w:val="Normal"/>
    <w:link w:val="BalloonTextChar"/>
    <w:uiPriority w:val="99"/>
    <w:semiHidden w:val="1"/>
    <w:unhideWhenUsed w:val="1"/>
    <w:rsid w:val="00AE60F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E60F0"/>
    <w:rPr>
      <w:rFonts w:ascii="Tahoma" w:cs="Tahoma" w:hAnsi="Tahoma"/>
      <w:sz w:val="16"/>
      <w:szCs w:val="16"/>
    </w:rPr>
  </w:style>
  <w:style w:type="character" w:styleId="Hyperlink">
    <w:name w:val="Hyperlink"/>
    <w:basedOn w:val="DefaultParagraphFont"/>
    <w:uiPriority w:val="99"/>
    <w:unhideWhenUsed w:val="1"/>
    <w:rsid w:val="003C0AA0"/>
    <w:rPr>
      <w:color w:val="0000ff" w:themeColor="hyperlink"/>
      <w:u w:val="single"/>
    </w:rPr>
  </w:style>
  <w:style w:type="paragraph" w:styleId="ListParagraph">
    <w:name w:val="List Paragraph"/>
    <w:basedOn w:val="Normal"/>
    <w:uiPriority w:val="34"/>
    <w:qFormat w:val="1"/>
    <w:rsid w:val="003C0AA0"/>
    <w:pPr>
      <w:ind w:left="720"/>
      <w:contextualSpacing w:val="1"/>
    </w:pPr>
  </w:style>
  <w:style w:type="character" w:styleId="CommentReference">
    <w:name w:val="annotation reference"/>
    <w:basedOn w:val="DefaultParagraphFont"/>
    <w:uiPriority w:val="99"/>
    <w:semiHidden w:val="1"/>
    <w:unhideWhenUsed w:val="1"/>
    <w:rsid w:val="00585D5D"/>
    <w:rPr>
      <w:sz w:val="18"/>
      <w:szCs w:val="18"/>
    </w:rPr>
  </w:style>
  <w:style w:type="paragraph" w:styleId="CommentText">
    <w:name w:val="annotation text"/>
    <w:basedOn w:val="Normal"/>
    <w:link w:val="CommentTextChar"/>
    <w:uiPriority w:val="99"/>
    <w:semiHidden w:val="1"/>
    <w:unhideWhenUsed w:val="1"/>
    <w:rsid w:val="00585D5D"/>
    <w:pPr>
      <w:spacing w:after="0" w:line="240" w:lineRule="auto"/>
    </w:pPr>
    <w:rPr>
      <w:rFonts w:ascii="Helvetica" w:hAnsi="Helvetica" w:eastAsiaTheme="minorEastAsia"/>
      <w:sz w:val="24"/>
      <w:szCs w:val="24"/>
    </w:rPr>
  </w:style>
  <w:style w:type="character" w:styleId="CommentTextChar" w:customStyle="1">
    <w:name w:val="Comment Text Char"/>
    <w:basedOn w:val="DefaultParagraphFont"/>
    <w:link w:val="CommentText"/>
    <w:uiPriority w:val="99"/>
    <w:semiHidden w:val="1"/>
    <w:rsid w:val="00585D5D"/>
    <w:rPr>
      <w:rFonts w:ascii="Helvetica" w:hAnsi="Helvetica" w:eastAsiaTheme="minorEastAsia"/>
      <w:sz w:val="24"/>
      <w:szCs w:val="24"/>
    </w:rPr>
  </w:style>
  <w:style w:type="character" w:styleId="PlaceholderText">
    <w:name w:val="Placeholder Text"/>
    <w:basedOn w:val="DefaultParagraphFont"/>
    <w:uiPriority w:val="99"/>
    <w:semiHidden w:val="1"/>
    <w:rsid w:val="00B72424"/>
    <w:rPr>
      <w:color w:val="808080"/>
    </w:rPr>
  </w:style>
  <w:style w:type="paragraph" w:styleId="CommentSubject">
    <w:name w:val="annotation subject"/>
    <w:basedOn w:val="CommentText"/>
    <w:next w:val="CommentText"/>
    <w:link w:val="CommentSubjectChar"/>
    <w:uiPriority w:val="99"/>
    <w:semiHidden w:val="1"/>
    <w:unhideWhenUsed w:val="1"/>
    <w:rsid w:val="001967A3"/>
    <w:pPr>
      <w:spacing w:after="200"/>
    </w:pPr>
    <w:rPr>
      <w:rFonts w:asciiTheme="minorHAnsi" w:eastAsiaTheme="minorHAnsi" w:hAnsiTheme="minorHAnsi"/>
      <w:b w:val="1"/>
      <w:bCs w:val="1"/>
      <w:sz w:val="20"/>
      <w:szCs w:val="20"/>
    </w:rPr>
  </w:style>
  <w:style w:type="character" w:styleId="CommentSubjectChar" w:customStyle="1">
    <w:name w:val="Comment Subject Char"/>
    <w:basedOn w:val="CommentTextChar"/>
    <w:link w:val="CommentSubject"/>
    <w:uiPriority w:val="99"/>
    <w:semiHidden w:val="1"/>
    <w:rsid w:val="001967A3"/>
    <w:rPr>
      <w:rFonts w:ascii="Helvetica" w:hAnsi="Helvetica" w:eastAsiaTheme="minorEastAsia"/>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jpg"/><Relationship Id="rId10" Type="http://schemas.openxmlformats.org/officeDocument/2006/relationships/image" Target="media/image2.jpg"/><Relationship Id="rId13" Type="http://schemas.openxmlformats.org/officeDocument/2006/relationships/header" Target="header1.xml"/><Relationship Id="rId12" Type="http://schemas.openxmlformats.org/officeDocument/2006/relationships/image" Target="media/image5.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image" Target="media/image6.jpg"/></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bPAs1VN8p//JEitvCXGG68s9Pg==">AMUW2mWttfnxV+uVZ/nCPfVLzIOd8VyxfAYyOZBhvXz1EQn4F3e3xvYQlTJrBfInuVmhkTcL9Zek8is/jHau4blmEqTYLAUSEsln45aHEvcI5ya4HioMIRJ5lk9eQ9sZ+2gCXdab6F11VkMF2x3smh05GCEt8UJZ9OeGendUn/Gz8y3ja8FWnivIz9b+lAKtWVMqqxl/noH/UrfzApaOtUlNx3rxXjeSYCgs+ukGPDN4rjEnnQAl8u/V82QNE8139DNfdPithR9dNs6HxadiWgBDPubTKM10fYQVv9IwU3LaCdipF+Q3E+KPx0XRaGaTpXMofL9cdOwRIxgZ8cxdMe1P92p3Ee4upq9eaO4bfBTJDFaIaev2LFO/IUAD/qJkAsnN7WTYJLKvIFtg5K7RAC8gEgpIFoZ5iXkXAmYYnjFGy6k4wCNEJ5tkiLvTm/qxCMsQCrWaV0Z2NYOIhhWNZihPok/0NFmH27gvMbnfMsKzLhqoUxZ5uKZNYzapqeh2XzQVpTCbuFWSkjN2qQND0ehSukvKc5ki3nsnSD9FMUC2TQpRn6SuyekvjmT5ej8qnYQOwgC6wPCMKz5UBT4MDqE+7H4ljU4l0Yd18WEeysYZmpdFjKh9lKJf4YB4VMTLkJ089wDI1O0u29PVrW/+AtRUfqSbM7vf1PA8xEGSBXqYjmHThfim1OB0iTAsNz7T0n78kKYFhJ6SScR5GCAyNJtciEYgPnC636YQ08hkP1/2RhjKDYD/U7PtySN3B9uiQFb5otIFZyGDQU4dqppOcF+KhUHc7goLBYdZMxKRiPswdCGKSqfQr1G2HRbJFBMddAVQ5xCq9qN+z98GjkpZ7ziX7Qv7WjniJ6mTE7JSZoZndgYEwUDBMeKlYWmDdszg4iX+eC/uBSvx4N5uFm6dqZtDvLcfwMsqMHwrBvJCxFfUrjCq4+Asv5nXDESXFuCIz5x7vSvUHwDT0MhSKiTQdBhaRXNYhYE70k5DN7EbEXNJc1MB4c5ZkSRH8cJ8fdCVSIqwcr8f0gYf4B6KYw13cCD4o4TM1KKFjejnnSd6gw1rEimbn7VUN6fF2zV0bGb97hRaLy6tqD5QuFPWLxXVNPkFw41Ys9q16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2021-06-16T01:57:00Z</dcterms:created>
  <dc:creator>Orr, Kim (1811)</dc:creator>
</cp:coreProperties>
</file>